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97E5" w14:textId="183B7FA2" w:rsidR="006D22B1" w:rsidRPr="00DC696C" w:rsidRDefault="00F11B98" w:rsidP="00DC696C">
      <w:pPr>
        <w:pStyle w:val="NormalWeb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 de</w:t>
      </w:r>
      <w:r w:rsidR="00024B49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522AB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Hotărâre nr.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B522AB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data de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27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/[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28</w:t>
      </w:r>
      <w:r w:rsid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6279F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="006279F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522AB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</w:p>
    <w:p w14:paraId="642B3D24" w14:textId="20A0B393" w:rsidR="00B522AB" w:rsidRPr="00DC696C" w:rsidRDefault="00B522AB" w:rsidP="00DC696C">
      <w:pPr>
        <w:pStyle w:val="NormalWeb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Adunării Generale Ordinare a Acționarilor </w:t>
      </w:r>
      <w:r w:rsidR="008234F7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societății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ELECTROAPARATAJ S.A.</w:t>
      </w:r>
    </w:p>
    <w:p w14:paraId="62C74B61" w14:textId="29E11F3D" w:rsidR="006D22B1" w:rsidRPr="00DC696C" w:rsidRDefault="00B522AB" w:rsidP="00DC696C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Adunarea Generală </w:t>
      </w:r>
      <w:r w:rsidR="006D22B1" w:rsidRPr="00DC696C">
        <w:rPr>
          <w:rFonts w:ascii="Times New Roman" w:hAnsi="Times New Roman" w:cs="Times New Roman"/>
          <w:sz w:val="24"/>
          <w:szCs w:val="24"/>
          <w:lang w:val="ro-RO"/>
        </w:rPr>
        <w:t>Ordinară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a Acționarilor </w:t>
      </w:r>
      <w:r w:rsidR="008B5436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societății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ELECTROAPARATAJ S.A.,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cu sediul social în Mun. Târgoviște, Calea Câmpulung nr. 121, C7, județul Dâmbovița, înregistrată la Oficiul Registrului Comerțului de pe lângă Tribunalul Dâmbovița sub nr. J15/80/2011, având Codul de Identificare Fiscală RO 51 și Identificatorul Unic la Nivel European (EUID): ROONRC.J15/80/2011 („</w:t>
      </w:r>
      <w:r w:rsidRPr="00DC696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Societatea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>”), convocată prin anunțul publicat în Monitorul Oficial al României, Partea a IV-a, nr.</w:t>
      </w:r>
      <w:r w:rsidR="00110815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53E9" w:rsidRPr="00A21CC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[</w:t>
      </w:r>
      <w:r w:rsidR="00CF72F4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1421</w:t>
      </w:r>
      <w:r w:rsidR="000853E9" w:rsidRPr="00A21CC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]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79F8" w:rsidRPr="00DC696C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data de</w:t>
      </w:r>
      <w:r w:rsidR="006279F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2</w:t>
      </w:r>
      <w:r w:rsidR="00DC696C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7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.03.202</w:t>
      </w:r>
      <w:r w:rsidR="00DC696C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3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79F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și în ziarul “Național” din data de 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DC696C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27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.03.20</w:t>
      </w:r>
      <w:r w:rsidR="00F11B98" w:rsidRPr="00A21CC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2</w:t>
      </w:r>
      <w:r w:rsidR="00DC696C" w:rsidRPr="00A21CC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3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110815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legal și statutar întrunită la data de </w:t>
      </w:r>
      <w:r w:rsidR="00F11B9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F11B98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27</w:t>
      </w:r>
      <w:r w:rsid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]/[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28</w:t>
      </w:r>
      <w:r w:rsid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F11B9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.04.202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9B402C" w:rsidRPr="00DC696C">
        <w:rPr>
          <w:rFonts w:ascii="Times New Roman" w:hAnsi="Times New Roman" w:cs="Times New Roman"/>
          <w:sz w:val="24"/>
          <w:szCs w:val="24"/>
          <w:lang w:val="ro-RO"/>
        </w:rPr>
        <w:t>11: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>00, la adresa</w:t>
      </w:r>
      <w:r w:rsidR="009B402C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din M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>un. București,</w:t>
      </w:r>
      <w:r w:rsidR="009B402C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B-dul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Pierre de Coubertin nr. 3-5, Office Building, etajul 6, </w:t>
      </w:r>
      <w:r w:rsidR="00110815" w:rsidRPr="00DC696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ector 2, la 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prima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DC696C">
        <w:rPr>
          <w:rFonts w:ascii="Times New Roman" w:hAnsi="Times New Roman" w:cs="Times New Roman"/>
          <w:sz w:val="24"/>
          <w:szCs w:val="24"/>
          <w:lang w:val="ro-RO"/>
        </w:rPr>
        <w:t>/[</w:t>
      </w:r>
      <w:r w:rsidR="00DC696C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a doua</w:t>
      </w:r>
      <w:r w:rsid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9B402C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>convocare, în prezența unor acționari</w:t>
      </w:r>
      <w:r w:rsidR="004C553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prezenți sau reprezentați în mod valabil sau care au votat prin corespondență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4FD9" w:rsidRPr="00DC696C">
        <w:rPr>
          <w:rFonts w:ascii="Times New Roman" w:hAnsi="Times New Roman" w:cs="Times New Roman"/>
          <w:sz w:val="24"/>
          <w:szCs w:val="24"/>
          <w:lang w:val="ro-RO"/>
        </w:rPr>
        <w:t>înregistrați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in registrul </w:t>
      </w:r>
      <w:r w:rsidR="009D4FD9" w:rsidRPr="00DC696C">
        <w:rPr>
          <w:rFonts w:ascii="Times New Roman" w:hAnsi="Times New Roman" w:cs="Times New Roman"/>
          <w:sz w:val="24"/>
          <w:szCs w:val="24"/>
          <w:lang w:val="ro-RO"/>
        </w:rPr>
        <w:t>acționarilor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4FD9" w:rsidRPr="00DC696C">
        <w:rPr>
          <w:rFonts w:ascii="Times New Roman" w:hAnsi="Times New Roman" w:cs="Times New Roman"/>
          <w:sz w:val="24"/>
          <w:szCs w:val="24"/>
          <w:lang w:val="ro-RO"/>
        </w:rPr>
        <w:t>Societății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la data de </w:t>
      </w:r>
      <w:r w:rsidR="009D4FD9" w:rsidRPr="00DC696C">
        <w:rPr>
          <w:rFonts w:ascii="Times New Roman" w:hAnsi="Times New Roman" w:cs="Times New Roman"/>
          <w:sz w:val="24"/>
          <w:szCs w:val="24"/>
          <w:lang w:val="ro-RO"/>
        </w:rPr>
        <w:t>referința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DC696C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18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.04.202</w:t>
      </w:r>
      <w:r w:rsidR="00DC696C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3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totalizând </w:t>
      </w:r>
      <w:bookmarkStart w:id="0" w:name="_Hlk38964656"/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*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4C5538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drepturi de vot, reprezentând </w:t>
      </w:r>
      <w:bookmarkEnd w:id="0"/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*</w:t>
      </w:r>
      <w:r w:rsidR="00F11B98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% din </w:t>
      </w:r>
      <w:r w:rsidR="006D22B1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capitalul social și din numărul total de drepturi de 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vot, </w:t>
      </w:r>
    </w:p>
    <w:p w14:paraId="11F6607B" w14:textId="190F7EFD" w:rsidR="00F511B7" w:rsidRPr="00DC696C" w:rsidRDefault="00F511B7" w:rsidP="00DC696C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sz w:val="24"/>
          <w:szCs w:val="24"/>
          <w:lang w:val="ro-RO"/>
        </w:rPr>
        <w:t>cu respectarea prevederilor Legii nr. 31/1990 și ale Actului constitutiv al Societății,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0B358F2" w14:textId="0025802D" w:rsidR="00F511B7" w:rsidRPr="00DC696C" w:rsidRDefault="00B522AB" w:rsidP="00DC696C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unanimitatea</w:t>
      </w:r>
      <w:r w:rsidR="000853E9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8234F7" w:rsidRPr="00DC696C">
        <w:rPr>
          <w:rFonts w:ascii="Times New Roman" w:hAnsi="Times New Roman" w:cs="Times New Roman"/>
          <w:sz w:val="24"/>
          <w:szCs w:val="24"/>
          <w:lang w:val="ro-RO"/>
        </w:rPr>
        <w:t>/[</w:t>
      </w:r>
      <w:r w:rsidR="008234F7" w:rsidRPr="00DC696C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majoritatea</w:t>
      </w:r>
      <w:r w:rsidR="008234F7" w:rsidRPr="00DC696C">
        <w:rPr>
          <w:rFonts w:ascii="Times New Roman" w:hAnsi="Times New Roman" w:cs="Times New Roman"/>
          <w:sz w:val="24"/>
          <w:szCs w:val="24"/>
          <w:lang w:val="ro-RO"/>
        </w:rPr>
        <w:t>]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voturilor</w:t>
      </w:r>
      <w:r w:rsidR="008713DA"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exprimate de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13DA" w:rsidRPr="00DC696C">
        <w:rPr>
          <w:rFonts w:ascii="Times New Roman" w:hAnsi="Times New Roman" w:cs="Times New Roman"/>
          <w:sz w:val="24"/>
          <w:szCs w:val="24"/>
          <w:lang w:val="ro-RO"/>
        </w:rPr>
        <w:t>acționarii</w:t>
      </w:r>
      <w:r w:rsidRPr="00DC696C">
        <w:rPr>
          <w:rFonts w:ascii="Times New Roman" w:hAnsi="Times New Roman" w:cs="Times New Roman"/>
          <w:sz w:val="24"/>
          <w:szCs w:val="24"/>
          <w:lang w:val="ro-RO"/>
        </w:rPr>
        <w:t xml:space="preserve"> prezenți/reprezentați în adunare,</w:t>
      </w:r>
    </w:p>
    <w:p w14:paraId="2B066582" w14:textId="7DADED6C" w:rsidR="006D22B1" w:rsidRPr="00DC696C" w:rsidRDefault="006D22B1" w:rsidP="00DC696C">
      <w:pPr>
        <w:pStyle w:val="NormalWeb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HOTĂRĂȘTE:</w:t>
      </w:r>
    </w:p>
    <w:p w14:paraId="14071D6A" w14:textId="32BE701F" w:rsidR="009B402C" w:rsidRPr="00DC696C" w:rsidRDefault="001D6B9F" w:rsidP="00DC696C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aprobă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="00F11B98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="00F11B98" w:rsidRPr="00DC69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respinge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Raportul</w:t>
      </w:r>
      <w:r w:rsidR="009B402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gestiune al Consiliului de administrație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Societății </w:t>
      </w:r>
      <w:r w:rsidR="009B402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anul </w:t>
      </w:r>
      <w:r w:rsidR="00DC696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2022,</w:t>
      </w:r>
    </w:p>
    <w:p w14:paraId="46B81495" w14:textId="64B11144" w:rsidR="004C5538" w:rsidRPr="00DC696C" w:rsidRDefault="004C5538" w:rsidP="00DC696C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70509206"/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="00F11B98" w:rsidRPr="00DC696C">
        <w:rPr>
          <w:rFonts w:ascii="Times New Roman" w:hAnsi="Times New Roman" w:cs="Times New Roman"/>
          <w:sz w:val="24"/>
          <w:szCs w:val="24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F11B98"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="00F11B98" w:rsidRPr="00DC696C">
        <w:rPr>
          <w:rFonts w:ascii="Times New Roman" w:hAnsi="Times New Roman" w:cs="Times New Roman"/>
          <w:sz w:val="24"/>
          <w:szCs w:val="24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F11B98"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="00F11B98" w:rsidRPr="00DC696C">
        <w:rPr>
          <w:rFonts w:ascii="Times New Roman" w:hAnsi="Times New Roman" w:cs="Times New Roman"/>
          <w:sz w:val="24"/>
          <w:szCs w:val="24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F11B98"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="00F11B98" w:rsidRPr="00DC696C">
        <w:rPr>
          <w:rFonts w:ascii="Times New Roman" w:hAnsi="Times New Roman" w:cs="Times New Roman"/>
          <w:sz w:val="24"/>
          <w:szCs w:val="24"/>
        </w:rPr>
        <w:t>[</w:t>
      </w:r>
      <w:r w:rsidR="00F11B98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F11B98"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106D4D5C" w14:textId="6A636AF4" w:rsidR="004C5538" w:rsidRPr="00DC696C" w:rsidRDefault="004C5538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FE8D1DB" w14:textId="347601A4" w:rsidR="000F7951" w:rsidRPr="00DC696C" w:rsidRDefault="004C5538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cu un număr de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>]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>]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5369D194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1D99EEEA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583A69A7" w14:textId="69B23EBC" w:rsidR="004C5538" w:rsidRPr="00DC696C" w:rsidRDefault="004C5538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și 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 fost 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număr</w:t>
      </w:r>
      <w:r w:rsidR="000F7951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F7951" w:rsidRPr="00DC696C">
        <w:rPr>
          <w:rFonts w:ascii="Times New Roman" w:hAnsi="Times New Roman" w:cs="Times New Roman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F7951"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anulate.</w:t>
      </w:r>
    </w:p>
    <w:bookmarkEnd w:id="1"/>
    <w:p w14:paraId="7000359C" w14:textId="10E5C958" w:rsidR="009B402C" w:rsidRPr="00DC696C" w:rsidRDefault="001D6B9F" w:rsidP="00A21CC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aprobă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]/[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respinge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="00A21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descărcarea de gestiune a administratorilor Societății</w:t>
      </w:r>
      <w:r w:rsidR="009B402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402C"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pentru exercițiul financiar pe anul </w:t>
      </w:r>
      <w:r w:rsidR="00DC696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0F7951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3511AE0A" w14:textId="77777777" w:rsidR="000F7951" w:rsidRPr="00DC696C" w:rsidRDefault="000F7951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024E7B52" w14:textId="77777777" w:rsidR="000F7951" w:rsidRPr="00DC696C" w:rsidRDefault="000F7951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7DDA96C" w14:textId="77777777" w:rsidR="000F7951" w:rsidRPr="00DC696C" w:rsidRDefault="000F7951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3E41090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3F5C4FAF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B77915C" w14:textId="6EEBCE7F" w:rsidR="004C5538" w:rsidRPr="00DC696C" w:rsidRDefault="000F7951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număr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159FAA" w14:textId="6CF2CBDF" w:rsidR="009B402C" w:rsidRPr="00DC696C" w:rsidRDefault="000853E9" w:rsidP="00A21CC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="001D6B9F" w:rsidRPr="00DC69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Se ia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="001D6B9F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act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/[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Nu se ia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] act</w:t>
      </w:r>
      <w:r w:rsidR="001D6B9F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r w:rsidR="009B402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Raportul auditorului </w:t>
      </w:r>
      <w:r w:rsidR="001D6B9F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financiar al Societății </w:t>
      </w:r>
      <w:r w:rsidR="009B402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privind Situațiile financiare pe anul </w:t>
      </w:r>
      <w:r w:rsidR="006279F8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C696C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C5538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313D4CC1" w14:textId="77777777" w:rsidR="000F7951" w:rsidRPr="00DC696C" w:rsidRDefault="000F7951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17B64F5F" w14:textId="77777777" w:rsidR="000F7951" w:rsidRPr="00DC696C" w:rsidRDefault="000F7951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480FBF63" w14:textId="77777777" w:rsidR="000F7951" w:rsidRPr="00DC696C" w:rsidRDefault="000F7951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31E172DA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30FFE43F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1731354" w14:textId="6CF735C4" w:rsidR="004C5538" w:rsidRPr="00DC696C" w:rsidRDefault="000F7951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număr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5741E8" w14:textId="276290E3" w:rsidR="009B402C" w:rsidRPr="00DC696C" w:rsidRDefault="001D6B9F" w:rsidP="00A21CC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</w:t>
      </w:r>
      <w:r w:rsidR="003A45EF" w:rsidRPr="000E0536">
        <w:rPr>
          <w:rFonts w:ascii="Times New Roman" w:hAnsi="Times New Roman" w:cs="Times New Roman"/>
          <w:b/>
          <w:bCs/>
          <w:sz w:val="24"/>
          <w:szCs w:val="24"/>
        </w:rPr>
        <w:t>prezintă</w:t>
      </w:r>
      <w:r w:rsidR="009B402C" w:rsidRPr="000E0536">
        <w:rPr>
          <w:rFonts w:ascii="Times New Roman" w:hAnsi="Times New Roman" w:cs="Times New Roman"/>
          <w:b/>
          <w:bCs/>
          <w:sz w:val="24"/>
          <w:szCs w:val="24"/>
        </w:rPr>
        <w:t xml:space="preserve"> Situațiil</w:t>
      </w:r>
      <w:r w:rsidRPr="000E053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B402C" w:rsidRPr="000E0536">
        <w:rPr>
          <w:rFonts w:ascii="Times New Roman" w:hAnsi="Times New Roman" w:cs="Times New Roman"/>
          <w:b/>
          <w:bCs/>
          <w:sz w:val="24"/>
          <w:szCs w:val="24"/>
        </w:rPr>
        <w:t xml:space="preserve"> financiare pe anul </w:t>
      </w:r>
      <w:r w:rsidR="00DC696C" w:rsidRPr="000E0536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6279F8" w:rsidRPr="000E05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7176D" w:rsidRPr="000E0536">
        <w:rPr>
          <w:rFonts w:ascii="Times New Roman" w:hAnsi="Times New Roman" w:cs="Times New Roman"/>
          <w:b/>
          <w:bCs/>
          <w:sz w:val="24"/>
          <w:szCs w:val="24"/>
        </w:rPr>
        <w:t xml:space="preserve"> Societatea înregistrând </w:t>
      </w:r>
      <w:r w:rsidR="000F7951" w:rsidRPr="000E0536">
        <w:rPr>
          <w:rFonts w:ascii="Times New Roman" w:hAnsi="Times New Roman" w:cs="Times New Roman"/>
          <w:b/>
          <w:bCs/>
          <w:sz w:val="24"/>
          <w:szCs w:val="24"/>
        </w:rPr>
        <w:t>un profit net</w:t>
      </w:r>
      <w:r w:rsidR="00C7176D" w:rsidRPr="000E0536">
        <w:rPr>
          <w:rFonts w:ascii="Times New Roman" w:hAnsi="Times New Roman" w:cs="Times New Roman"/>
          <w:b/>
          <w:bCs/>
          <w:sz w:val="24"/>
          <w:szCs w:val="24"/>
        </w:rPr>
        <w:t xml:space="preserve"> în valoare de </w:t>
      </w:r>
      <w:r w:rsidR="00DC696C" w:rsidRPr="000E05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</w:t>
      </w:r>
      <w:r w:rsidR="00F13D32" w:rsidRPr="000E05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1.960.950</w:t>
      </w:r>
      <w:r w:rsidR="003A45EF" w:rsidRPr="000E05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,41</w:t>
      </w:r>
      <w:r w:rsidR="00DC696C" w:rsidRPr="000E05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]</w:t>
      </w:r>
      <w:r w:rsidR="000853E9" w:rsidRPr="000E0536">
        <w:rPr>
          <w:rFonts w:ascii="Times New Roman" w:hAnsi="Times New Roman" w:cs="Times New Roman"/>
          <w:b/>
          <w:bCs/>
          <w:sz w:val="24"/>
          <w:szCs w:val="24"/>
        </w:rPr>
        <w:t xml:space="preserve"> lei in exercițiul </w:t>
      </w:r>
      <w:r w:rsidR="000853E9" w:rsidRPr="00DC696C">
        <w:rPr>
          <w:rFonts w:ascii="Times New Roman" w:hAnsi="Times New Roman" w:cs="Times New Roman"/>
          <w:b/>
          <w:bCs/>
          <w:sz w:val="24"/>
          <w:szCs w:val="24"/>
        </w:rPr>
        <w:t>financiar pe anul 20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0853E9" w:rsidRPr="00DC69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 xml:space="preserve"> se constată 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existența unui surplus de rezervă legală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 xml:space="preserve"> și 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3A45EF">
        <w:rPr>
          <w:rFonts w:ascii="Times New Roman" w:hAnsi="Times New Roman" w:cs="Times New Roman"/>
          <w:b/>
          <w:bCs/>
          <w:sz w:val="24"/>
          <w:szCs w:val="24"/>
          <w:lang w:val="en-GB"/>
        </w:rPr>
        <w:t>[</w:t>
      </w:r>
      <w:proofErr w:type="spellStart"/>
      <w:r w:rsidR="003A45EF" w:rsidRPr="003A45EF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aprob</w:t>
      </w:r>
      <w:proofErr w:type="spellEnd"/>
      <w:r w:rsidR="003A45EF" w:rsidRPr="003A45E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ă</w:t>
      </w:r>
      <w:r w:rsidR="003A45EF">
        <w:rPr>
          <w:rFonts w:ascii="Times New Roman" w:hAnsi="Times New Roman" w:cs="Times New Roman"/>
          <w:b/>
          <w:bCs/>
          <w:sz w:val="24"/>
          <w:szCs w:val="24"/>
          <w:lang w:val="en-GB"/>
        </w:rPr>
        <w:t>]/[</w:t>
      </w:r>
      <w:proofErr w:type="spellStart"/>
      <w:r w:rsidR="003A45EF" w:rsidRPr="003A45EF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respinge</w:t>
      </w:r>
      <w:proofErr w:type="spellEnd"/>
      <w:r w:rsidR="003A45E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] 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Situațiile financiare pe anul 2022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 xml:space="preserve">, precum și 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mutarea surplusului de rezervă legală constituit peste a cincea parte din capitalul social subscris și vărsat în „Alte rezerve”, fără ca rezerva legală să fie diminuată sub limita impusă de lege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DEF4867" w14:textId="77777777" w:rsidR="000F7951" w:rsidRPr="00DC696C" w:rsidRDefault="000F7951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7FB9524F" w14:textId="77777777" w:rsidR="000F7951" w:rsidRPr="00DC696C" w:rsidRDefault="000F7951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03979810" w14:textId="77777777" w:rsidR="000F7951" w:rsidRPr="00DC696C" w:rsidRDefault="000F7951" w:rsidP="00A21CC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98834D5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295FCEAF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B042356" w14:textId="69FCE439" w:rsidR="004C5538" w:rsidRPr="00DC696C" w:rsidRDefault="000F7951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număr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DB9B3B" w14:textId="509DC8F1" w:rsidR="000F7951" w:rsidRDefault="000853E9" w:rsidP="00A21CC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</w:rPr>
        <w:t>Se 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aprobă</w:t>
      </w:r>
      <w:r w:rsidRPr="00DC696C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Pr="00DC696C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024B49"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 xml:space="preserve">repartizarea rezultatului Societății, respectiv </w:t>
      </w:r>
      <w:r w:rsidR="003A45EF" w:rsidRPr="00DC696C">
        <w:rPr>
          <w:rFonts w:ascii="Times New Roman" w:hAnsi="Times New Roman" w:cs="Times New Roman"/>
          <w:b/>
          <w:bCs/>
          <w:sz w:val="24"/>
          <w:szCs w:val="24"/>
        </w:rPr>
        <w:t>profitul net înregistrat de Societate in exercițiul financiar 2022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45EF"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 xml:space="preserve">precum și surplusul de rezerva 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legală de 1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654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812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 xml:space="preserve"> lei transferat in contul “Alte Rezerve” și impozitat, potrivit legii aplicabile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 xml:space="preserve">, să fie </w:t>
      </w:r>
      <w:r w:rsidR="003A45EF" w:rsidRPr="003A45EF">
        <w:rPr>
          <w:rFonts w:ascii="Times New Roman" w:hAnsi="Times New Roman" w:cs="Times New Roman"/>
          <w:b/>
          <w:bCs/>
          <w:sz w:val="24"/>
          <w:szCs w:val="24"/>
        </w:rPr>
        <w:t>repartizat integral pentru acoperirea parțială a pierderii reportate</w:t>
      </w:r>
      <w:r w:rsidR="003A45EF">
        <w:rPr>
          <w:rFonts w:ascii="Times New Roman" w:hAnsi="Times New Roman" w:cs="Times New Roman"/>
          <w:b/>
          <w:bCs/>
          <w:sz w:val="24"/>
          <w:szCs w:val="24"/>
        </w:rPr>
        <w:t>, după cum urmează:</w:t>
      </w:r>
    </w:p>
    <w:tbl>
      <w:tblPr>
        <w:tblStyle w:val="TableGrid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1546"/>
      </w:tblGrid>
      <w:tr w:rsidR="003A45EF" w:rsidRPr="003A45EF" w14:paraId="49761A0F" w14:textId="77777777" w:rsidTr="00B665E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2E803" w14:textId="77777777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Destinație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0BBD9D" w14:textId="77777777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Sumă (Lei)</w:t>
            </w:r>
          </w:p>
        </w:tc>
      </w:tr>
      <w:tr w:rsidR="003A45EF" w:rsidRPr="003A45EF" w14:paraId="693618C5" w14:textId="77777777" w:rsidTr="00B665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28C1D" w14:textId="121C23B9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Profit net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560621" w14:textId="1806DFC3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1.960.950,41</w:t>
            </w:r>
          </w:p>
        </w:tc>
      </w:tr>
      <w:tr w:rsidR="003A45EF" w:rsidRPr="003A45EF" w14:paraId="3B42207C" w14:textId="77777777" w:rsidTr="00B665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3646" w14:textId="3234AD11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Acoperire parțială pierdere reportată din profitul exercițiului 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6C0D2C" w14:textId="4F2182E0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1.960.950,41</w:t>
            </w:r>
          </w:p>
        </w:tc>
      </w:tr>
      <w:tr w:rsidR="003A45EF" w:rsidRPr="003A45EF" w14:paraId="18B2ADD1" w14:textId="77777777" w:rsidTr="00B665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042B" w14:textId="20092329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Acoperire parțială pierdere reportată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din alte rezerve, ca efect al </w:t>
            </w: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ului surplusului de rezervă legală</w:t>
            </w: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contul “Alte Rezerve” și impozitat, potrivit legii aplicabile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DDEA1" w14:textId="0E091801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4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1.654.812,00</w:t>
            </w:r>
          </w:p>
        </w:tc>
      </w:tr>
      <w:tr w:rsidR="003A45EF" w:rsidRPr="003A45EF" w14:paraId="0A64544B" w14:textId="77777777" w:rsidTr="00B665E5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F278E0" w14:textId="078DA054" w:rsidR="003A45EF" w:rsidRPr="003A45EF" w:rsidRDefault="003A45EF" w:rsidP="003A45EF">
            <w:pPr>
              <w:keepNext/>
              <w:tabs>
                <w:tab w:val="left" w:pos="360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65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TOTAL REPARTIZARI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pentru acoperire parțială pierdere reportată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140DDB" w14:textId="3BE0A93F" w:rsidR="003A45EF" w:rsidRPr="003A45EF" w:rsidRDefault="003807CE" w:rsidP="003A45EF">
            <w:pPr>
              <w:keepNext/>
              <w:tabs>
                <w:tab w:val="left" w:pos="360"/>
              </w:tabs>
              <w:spacing w:after="12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3,615,762.41</w:t>
            </w:r>
          </w:p>
        </w:tc>
      </w:tr>
    </w:tbl>
    <w:p w14:paraId="33099AB5" w14:textId="77777777" w:rsidR="000853E9" w:rsidRPr="00DC696C" w:rsidRDefault="000853E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1280D0FF" w14:textId="77777777" w:rsidR="000853E9" w:rsidRPr="00DC696C" w:rsidRDefault="000853E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72DE85CC" w14:textId="77777777" w:rsidR="000853E9" w:rsidRPr="00DC696C" w:rsidRDefault="000853E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57593051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139F8399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F45977C" w14:textId="75E09F53" w:rsidR="000853E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și 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 fost 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="000853E9" w:rsidRPr="00DC696C">
        <w:rPr>
          <w:rFonts w:ascii="Times New Roman" w:hAnsi="Times New Roman" w:cs="Times New Roman"/>
          <w:sz w:val="24"/>
          <w:szCs w:val="24"/>
        </w:rPr>
        <w:t>[</w:t>
      </w:r>
      <w:r w:rsidR="000853E9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0853E9"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D8043C" w14:textId="4EE17377" w:rsidR="009D4FD9" w:rsidRPr="00DC696C" w:rsidRDefault="009D4FD9" w:rsidP="00A21CC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</w:rPr>
        <w:t>Se 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aprobă</w:t>
      </w:r>
      <w:r w:rsidRPr="00DC696C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] programul de activitate și bugetul de venituri și cheltuieli pentru anul 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3A730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CFDB249" w14:textId="77777777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6BAD7F4C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79F96C35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700BEA3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129E20B3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47A34302" w14:textId="0F711CC4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anulate.</w:t>
      </w:r>
    </w:p>
    <w:p w14:paraId="5341AD1B" w14:textId="6A8A612B" w:rsidR="009B402C" w:rsidRPr="00DC696C" w:rsidRDefault="001D6B9F" w:rsidP="00A21CC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0F7951" w:rsidRPr="00DC696C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0F7951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aprobă</w:t>
      </w:r>
      <w:r w:rsidR="000F7951" w:rsidRPr="00DC696C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="000F7951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="000F7951" w:rsidRPr="00DC696C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 Raportul</w:t>
      </w:r>
      <w:r w:rsidR="009B402C"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 anual, </w:t>
      </w:r>
      <w:r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întocmit </w:t>
      </w:r>
      <w:r w:rsidR="009B402C" w:rsidRPr="00DC696C">
        <w:rPr>
          <w:rFonts w:ascii="Times New Roman" w:hAnsi="Times New Roman" w:cs="Times New Roman"/>
          <w:b/>
          <w:bCs/>
          <w:sz w:val="24"/>
          <w:szCs w:val="24"/>
        </w:rPr>
        <w:t>în conformitate cu dispozițiile art. 6</w:t>
      </w:r>
      <w:r w:rsidR="009D4FD9" w:rsidRPr="00DC69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B402C" w:rsidRPr="00DC696C">
        <w:rPr>
          <w:rFonts w:ascii="Times New Roman" w:hAnsi="Times New Roman" w:cs="Times New Roman"/>
          <w:b/>
          <w:bCs/>
          <w:sz w:val="24"/>
          <w:szCs w:val="24"/>
        </w:rPr>
        <w:t xml:space="preserve"> din Legea nr. 24/2017 privind emitenții de instrumente financiare si operațiuni de piață</w:t>
      </w:r>
      <w:r w:rsidR="004C5538" w:rsidRPr="00DC696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367B5ED" w14:textId="77777777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5CBAFAF8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0C3AECF0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8F479B6" w14:textId="1018805A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05EE39E6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DFAF3F7" w14:textId="17D011E4" w:rsidR="004C5538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ECB5D9" w14:textId="7109A3CF" w:rsidR="009D4FD9" w:rsidRPr="00DC696C" w:rsidRDefault="009D4FD9" w:rsidP="00A21CC9">
      <w:pPr>
        <w:pStyle w:val="NormalWeb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Se 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aprobă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]/[</w:t>
      </w:r>
      <w:r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respinge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 Raportul de remunerare</w:t>
      </w:r>
      <w:r w:rsidR="003D263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 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</w:t>
      </w:r>
      <w:r w:rsidR="003D263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ntocmit î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n baza Politicii de remunerare a conducătorilor Societății, în conformitate cu prevederile art. 107 din Legea nr. 24/2017 privind emitenții de instrumente financiare și operațiuni pe piață;</w:t>
      </w:r>
    </w:p>
    <w:p w14:paraId="42C5071D" w14:textId="77777777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1BAECD90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C10C19D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8ABA6AE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1C264C70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BDA0342" w14:textId="67C317F9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anulate.</w:t>
      </w:r>
    </w:p>
    <w:p w14:paraId="3B6C7720" w14:textId="654EB350" w:rsidR="006D22B1" w:rsidRPr="00DC696C" w:rsidRDefault="001D6B9F" w:rsidP="00A21CC9">
      <w:pPr>
        <w:pStyle w:val="NormalWeb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 </w:t>
      </w:r>
      <w:r w:rsidR="009D4FD9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9D4FD9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aprobă</w:t>
      </w:r>
      <w:r w:rsidR="009D4FD9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]/[</w:t>
      </w:r>
      <w:r w:rsidR="009D4FD9" w:rsidRPr="00DC696C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respinge</w:t>
      </w:r>
      <w:r w:rsidR="009D4FD9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] </w:t>
      </w:r>
      <w:r w:rsidR="006D22B1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de </w:t>
      </w:r>
      <w:r w:rsidR="00DF3929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6D22B1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F3929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Mai</w:t>
      </w:r>
      <w:r w:rsidR="006D22B1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C696C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2023</w:t>
      </w:r>
      <w:r w:rsidR="006279F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D22B1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ca dată de înregistrare a acționarilor asupra cărora se vor răsfrânge efectele prezentei </w:t>
      </w:r>
      <w:r w:rsidR="008713DA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H</w:t>
      </w:r>
      <w:r w:rsidR="006D22B1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otărâri a </w:t>
      </w:r>
      <w:r w:rsidR="008713DA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Adunării Generale Ordinare </w:t>
      </w:r>
      <w:r w:rsidR="006D22B1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a acționarilor</w:t>
      </w:r>
      <w:r w:rsidR="004C553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5093ECDF" w14:textId="77777777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55F30ABE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7EFEBCB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52DFF41B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74A49316" w14:textId="77777777" w:rsidR="00024B4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4F66CEE0" w14:textId="3D6EAE9D" w:rsidR="004C5538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17583" w14:textId="7A3A89B1" w:rsidR="00B522AB" w:rsidRPr="00DC696C" w:rsidRDefault="00B522AB" w:rsidP="00A21CC9">
      <w:pPr>
        <w:pStyle w:val="NormalWeb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depunerii spre menționare la Oficiul Registrului Comerțului și publicării în Monitorul Oficial al României, Partea a IV-a, a prezentei hotărâri, se mandatează dl Nicolae-Dragoș Trandafiroiu, </w:t>
      </w:r>
      <w:r w:rsidR="006279F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identificat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cu C</w:t>
      </w:r>
      <w:r w:rsidR="006279F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6279F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seria </w:t>
      </w:r>
      <w:r w:rsidR="00CF72F4" w:rsidRPr="00CF72F4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CF72F4" w:rsidRPr="00CF72F4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="00CF72F4" w:rsidRPr="00CF72F4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CF72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CF72F4" w:rsidRPr="00CF72F4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CF72F4" w:rsidRPr="00CF72F4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="00CF72F4" w:rsidRPr="00CF72F4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CF72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emisă de </w:t>
      </w:r>
      <w:r w:rsidR="00CF72F4" w:rsidRPr="00DC696C">
        <w:rPr>
          <w:rFonts w:ascii="Times New Roman" w:hAnsi="Times New Roman" w:cs="Times New Roman"/>
          <w:sz w:val="24"/>
          <w:szCs w:val="24"/>
        </w:rPr>
        <w:t>[</w:t>
      </w:r>
      <w:r w:rsidR="00CF72F4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CF72F4" w:rsidRPr="00DC696C">
        <w:rPr>
          <w:rFonts w:ascii="Times New Roman" w:hAnsi="Times New Roman" w:cs="Times New Roman"/>
          <w:sz w:val="24"/>
          <w:szCs w:val="24"/>
        </w:rPr>
        <w:t>]</w:t>
      </w:r>
      <w:r w:rsidR="00CF72F4">
        <w:rPr>
          <w:rFonts w:ascii="Times New Roman" w:hAnsi="Times New Roman" w:cs="Times New Roman"/>
          <w:sz w:val="24"/>
          <w:szCs w:val="24"/>
        </w:rPr>
        <w:t xml:space="preserve"> 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data de </w:t>
      </w:r>
      <w:r w:rsidR="00CF72F4" w:rsidRPr="00DC696C">
        <w:rPr>
          <w:rFonts w:ascii="Times New Roman" w:hAnsi="Times New Roman" w:cs="Times New Roman"/>
          <w:sz w:val="24"/>
          <w:szCs w:val="24"/>
        </w:rPr>
        <w:t>[</w:t>
      </w:r>
      <w:r w:rsidR="00CF72F4"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CF72F4"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>, să îndeplinească toate formalitățile necesare.</w:t>
      </w:r>
      <w:r w:rsidR="00F511B7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Președintele Consiliului de administrație va putea împuternici alte persoane cu aducerea la îndeplinire a prezentului mandat</w:t>
      </w:r>
      <w:r w:rsidR="004C5538" w:rsidRPr="00DC69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</w:p>
    <w:p w14:paraId="470AA20A" w14:textId="77777777" w:rsidR="009D4FD9" w:rsidRPr="00DC696C" w:rsidRDefault="009D4FD9" w:rsidP="00A21CC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7DF746E0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266F923" w14:textId="77777777" w:rsidR="009D4FD9" w:rsidRPr="00DC696C" w:rsidRDefault="009D4FD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>]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3706DA3" w14:textId="04461737" w:rsidR="009D4FD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D4FD9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5B2AC959" w14:textId="24CD5815" w:rsidR="009D4FD9" w:rsidRPr="00DC696C" w:rsidRDefault="00024B49" w:rsidP="00A21CC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D4FD9" w:rsidRPr="00DC6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="009D4FD9" w:rsidRPr="00DC696C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43E6B15" w14:textId="4D344F02" w:rsidR="00BB2FCF" w:rsidRPr="00DC696C" w:rsidRDefault="009D4FD9" w:rsidP="00DC696C">
      <w:pPr>
        <w:spacing w:after="12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C696C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DC69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DC696C">
        <w:rPr>
          <w:rFonts w:ascii="Times New Roman" w:hAnsi="Times New Roman" w:cs="Times New Roman"/>
          <w:sz w:val="24"/>
          <w:szCs w:val="24"/>
        </w:rPr>
        <w:t>[</w:t>
      </w:r>
      <w:r w:rsidRPr="00DC696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DC696C">
        <w:rPr>
          <w:rFonts w:ascii="Times New Roman" w:hAnsi="Times New Roman" w:cs="Times New Roman"/>
          <w:sz w:val="24"/>
          <w:szCs w:val="24"/>
        </w:rPr>
        <w:t xml:space="preserve">] </w:t>
      </w:r>
      <w:r w:rsidRPr="00DC696C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DC69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1B8C3C" w14:textId="77777777" w:rsidR="009D4FD9" w:rsidRPr="00DC696C" w:rsidRDefault="009D4FD9" w:rsidP="00DC696C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D22B1" w:rsidRPr="00DC696C" w14:paraId="4EB34ACA" w14:textId="77777777" w:rsidTr="009D4FD9">
        <w:trPr>
          <w:trHeight w:val="567"/>
          <w:jc w:val="center"/>
        </w:trPr>
        <w:tc>
          <w:tcPr>
            <w:tcW w:w="4675" w:type="dxa"/>
            <w:vAlign w:val="center"/>
          </w:tcPr>
          <w:p w14:paraId="10BB8E56" w14:textId="0405921E" w:rsidR="006D22B1" w:rsidRPr="00DC696C" w:rsidRDefault="006D22B1" w:rsidP="00DC696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Președintele Adunării</w:t>
            </w:r>
          </w:p>
        </w:tc>
        <w:tc>
          <w:tcPr>
            <w:tcW w:w="4675" w:type="dxa"/>
            <w:vAlign w:val="center"/>
          </w:tcPr>
          <w:p w14:paraId="0650394F" w14:textId="56CC9CEB" w:rsidR="006D22B1" w:rsidRPr="00DC696C" w:rsidRDefault="006D22B1" w:rsidP="00DC696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Secretarul Adunării</w:t>
            </w:r>
          </w:p>
        </w:tc>
      </w:tr>
      <w:tr w:rsidR="006D22B1" w:rsidRPr="00DC696C" w14:paraId="16542EE9" w14:textId="77777777" w:rsidTr="006D22B1">
        <w:trPr>
          <w:jc w:val="center"/>
        </w:trPr>
        <w:tc>
          <w:tcPr>
            <w:tcW w:w="4675" w:type="dxa"/>
            <w:vAlign w:val="center"/>
          </w:tcPr>
          <w:p w14:paraId="4F48FEF9" w14:textId="398AF205" w:rsidR="006D22B1" w:rsidRPr="00DC696C" w:rsidRDefault="009D4FD9" w:rsidP="00DC696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C69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DC69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675" w:type="dxa"/>
            <w:vAlign w:val="center"/>
          </w:tcPr>
          <w:p w14:paraId="3E6A7D42" w14:textId="578AACCE" w:rsidR="006D22B1" w:rsidRPr="00DC696C" w:rsidRDefault="009D4FD9" w:rsidP="00DC696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C69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DC69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2DBF5377" w14:textId="77777777" w:rsidR="00427AFA" w:rsidRPr="00DC696C" w:rsidRDefault="00427AFA" w:rsidP="00DC69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7AFA" w:rsidRPr="00DC696C" w:rsidSect="00110815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2CCC" w14:textId="77777777" w:rsidR="00145B4C" w:rsidRDefault="00145B4C" w:rsidP="006D22B1">
      <w:pPr>
        <w:spacing w:after="0" w:line="240" w:lineRule="auto"/>
      </w:pPr>
      <w:r>
        <w:separator/>
      </w:r>
    </w:p>
  </w:endnote>
  <w:endnote w:type="continuationSeparator" w:id="0">
    <w:p w14:paraId="6F46CD66" w14:textId="77777777" w:rsidR="00145B4C" w:rsidRDefault="00145B4C" w:rsidP="006D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9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62AEA" w14:textId="07AFB1FE" w:rsidR="00F83673" w:rsidRDefault="00F83673" w:rsidP="009D4F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80B0" w14:textId="77777777" w:rsidR="00145B4C" w:rsidRDefault="00145B4C" w:rsidP="006D22B1">
      <w:pPr>
        <w:spacing w:after="0" w:line="240" w:lineRule="auto"/>
      </w:pPr>
      <w:r>
        <w:separator/>
      </w:r>
    </w:p>
  </w:footnote>
  <w:footnote w:type="continuationSeparator" w:id="0">
    <w:p w14:paraId="3227B3AA" w14:textId="77777777" w:rsidR="00145B4C" w:rsidRDefault="00145B4C" w:rsidP="006D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" w:type="dxa"/>
        <w:left w:w="0" w:type="dxa"/>
        <w:bottom w:w="14" w:type="dxa"/>
        <w:right w:w="101" w:type="dxa"/>
      </w:tblCellMar>
      <w:tblLook w:val="01E0" w:firstRow="1" w:lastRow="1" w:firstColumn="1" w:lastColumn="1" w:noHBand="0" w:noVBand="0"/>
    </w:tblPr>
    <w:tblGrid>
      <w:gridCol w:w="5173"/>
      <w:gridCol w:w="4187"/>
    </w:tblGrid>
    <w:tr w:rsidR="008234F7" w:rsidRPr="008234F7" w14:paraId="2E36FABB" w14:textId="77777777" w:rsidTr="00892044">
      <w:tc>
        <w:tcPr>
          <w:tcW w:w="5484" w:type="dxa"/>
          <w:tcBorders>
            <w:top w:val="nil"/>
            <w:left w:val="nil"/>
            <w:bottom w:val="single" w:sz="24" w:space="0" w:color="003366"/>
            <w:right w:val="nil"/>
          </w:tcBorders>
        </w:tcPr>
        <w:p w14:paraId="6177C4B8" w14:textId="77777777" w:rsidR="008234F7" w:rsidRPr="008234F7" w:rsidRDefault="008234F7" w:rsidP="008234F7">
          <w:pPr>
            <w:tabs>
              <w:tab w:val="left" w:pos="391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ar-SA"/>
            </w:rPr>
          </w:pPr>
          <w:r w:rsidRPr="008234F7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n-US" w:eastAsia="ar-SA"/>
            </w:rPr>
            <w:drawing>
              <wp:inline distT="0" distB="0" distL="0" distR="0" wp14:anchorId="1FF36184" wp14:editId="56F0C072">
                <wp:extent cx="2947670" cy="40259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767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C2A10F" w14:textId="77777777" w:rsidR="008234F7" w:rsidRPr="008234F7" w:rsidRDefault="008234F7" w:rsidP="008234F7">
          <w:pPr>
            <w:tabs>
              <w:tab w:val="left" w:pos="3915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it-IT"/>
            </w:rPr>
          </w:pPr>
        </w:p>
      </w:tc>
      <w:tc>
        <w:tcPr>
          <w:tcW w:w="5485" w:type="dxa"/>
          <w:tcBorders>
            <w:top w:val="nil"/>
            <w:left w:val="nil"/>
            <w:bottom w:val="single" w:sz="24" w:space="0" w:color="003366"/>
            <w:right w:val="nil"/>
          </w:tcBorders>
          <w:vAlign w:val="bottom"/>
        </w:tcPr>
        <w:p w14:paraId="27A98A9A" w14:textId="77777777" w:rsidR="008234F7" w:rsidRPr="008234F7" w:rsidRDefault="008234F7" w:rsidP="008234F7">
          <w:pPr>
            <w:suppressAutoHyphens/>
            <w:snapToGrid w:val="0"/>
            <w:spacing w:after="0" w:line="240" w:lineRule="auto"/>
            <w:ind w:left="6" w:right="-43"/>
            <w:jc w:val="right"/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</w:pPr>
          <w:r w:rsidRPr="008234F7"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  <w:t xml:space="preserve"> ELECTROAPARATAJ S.A.</w:t>
          </w:r>
        </w:p>
      </w:tc>
    </w:tr>
    <w:tr w:rsidR="008234F7" w:rsidRPr="008234F7" w14:paraId="71B5AA2E" w14:textId="77777777" w:rsidTr="00892044">
      <w:tc>
        <w:tcPr>
          <w:tcW w:w="10969" w:type="dxa"/>
          <w:gridSpan w:val="2"/>
          <w:tcBorders>
            <w:top w:val="single" w:sz="24" w:space="0" w:color="003366"/>
            <w:left w:val="nil"/>
            <w:bottom w:val="single" w:sz="12" w:space="0" w:color="C0C0C0"/>
            <w:right w:val="nil"/>
          </w:tcBorders>
        </w:tcPr>
        <w:p w14:paraId="0E3DA809" w14:textId="77777777" w:rsidR="008234F7" w:rsidRPr="008234F7" w:rsidRDefault="008234F7" w:rsidP="008234F7">
          <w:pPr>
            <w:suppressAutoHyphens/>
            <w:snapToGrid w:val="0"/>
            <w:spacing w:after="0" w:line="240" w:lineRule="auto"/>
            <w:ind w:right="-43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8234F7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 xml:space="preserve">Calea Campulung nr. 121(C7), Targoviste, jud Dambovita; CUI RO51; J15/80/2011; </w:t>
          </w:r>
        </w:p>
        <w:p w14:paraId="6E641B69" w14:textId="77777777" w:rsidR="008234F7" w:rsidRPr="008234F7" w:rsidRDefault="008234F7" w:rsidP="008234F7">
          <w:pPr>
            <w:suppressAutoHyphens/>
            <w:snapToGrid w:val="0"/>
            <w:spacing w:after="0" w:line="240" w:lineRule="auto"/>
            <w:ind w:right="-43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8234F7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Cont RO08BREL070001397RO11001 Libra Internet Bank sucursala Stefan cel Mare</w:t>
          </w:r>
        </w:p>
        <w:p w14:paraId="117C898D" w14:textId="77777777" w:rsidR="008234F7" w:rsidRPr="008234F7" w:rsidRDefault="008234F7" w:rsidP="008234F7">
          <w:pPr>
            <w:tabs>
              <w:tab w:val="left" w:pos="3915"/>
            </w:tabs>
            <w:spacing w:after="0" w:line="240" w:lineRule="auto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/>
            </w:rPr>
          </w:pPr>
          <w:r w:rsidRPr="008234F7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Tel:</w:t>
          </w:r>
          <w:bookmarkStart w:id="2" w:name="_Hlk98860192"/>
          <w:r w:rsidRPr="008234F7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+40245.217.981</w:t>
          </w:r>
          <w:bookmarkEnd w:id="2"/>
          <w:r w:rsidRPr="008234F7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 xml:space="preserve">; Fax:+ 40245.217.981; </w:t>
          </w:r>
          <w:hyperlink r:id="rId2" w:history="1">
            <w:r w:rsidRPr="008234F7">
              <w:rPr>
                <w:rFonts w:ascii="Arial" w:eastAsia="Times New Roman" w:hAnsi="Arial" w:cs="Arial"/>
                <w:b/>
                <w:color w:val="333333"/>
                <w:sz w:val="19"/>
                <w:szCs w:val="19"/>
                <w:u w:val="single"/>
                <w:lang w:val="it-IT" w:eastAsia="ar-SA"/>
              </w:rPr>
              <w:t>office@electroaparataj.ro</w:t>
            </w:r>
          </w:hyperlink>
          <w:r w:rsidRPr="008234F7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 ; www.electroaparataj.ro</w:t>
          </w:r>
        </w:p>
      </w:tc>
    </w:tr>
  </w:tbl>
  <w:p w14:paraId="614E9D3F" w14:textId="77777777" w:rsidR="008234F7" w:rsidRPr="008234F7" w:rsidRDefault="008234F7" w:rsidP="008234F7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5CBCAC0E" w14:textId="77777777" w:rsidR="00F83673" w:rsidRPr="008234F7" w:rsidRDefault="00F83673" w:rsidP="0082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9DB"/>
    <w:multiLevelType w:val="hybridMultilevel"/>
    <w:tmpl w:val="C5E6BA84"/>
    <w:lvl w:ilvl="0" w:tplc="E2128F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9DD"/>
    <w:multiLevelType w:val="hybridMultilevel"/>
    <w:tmpl w:val="E40C555E"/>
    <w:lvl w:ilvl="0" w:tplc="CB72542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14028"/>
    <w:multiLevelType w:val="hybridMultilevel"/>
    <w:tmpl w:val="0444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4607D"/>
    <w:multiLevelType w:val="hybridMultilevel"/>
    <w:tmpl w:val="DA688832"/>
    <w:lvl w:ilvl="0" w:tplc="16589FEE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84020"/>
    <w:multiLevelType w:val="hybridMultilevel"/>
    <w:tmpl w:val="7E527850"/>
    <w:lvl w:ilvl="0" w:tplc="CB725428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014C23"/>
    <w:multiLevelType w:val="hybridMultilevel"/>
    <w:tmpl w:val="E3CE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2BEE"/>
    <w:multiLevelType w:val="hybridMultilevel"/>
    <w:tmpl w:val="2EEA2F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6D1BC3"/>
    <w:multiLevelType w:val="hybridMultilevel"/>
    <w:tmpl w:val="83F6F390"/>
    <w:lvl w:ilvl="0" w:tplc="CB725428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855714">
    <w:abstractNumId w:val="2"/>
  </w:num>
  <w:num w:numId="2" w16cid:durableId="1418475062">
    <w:abstractNumId w:val="5"/>
  </w:num>
  <w:num w:numId="3" w16cid:durableId="1233003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764829">
    <w:abstractNumId w:val="3"/>
  </w:num>
  <w:num w:numId="5" w16cid:durableId="1190028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646534">
    <w:abstractNumId w:val="1"/>
  </w:num>
  <w:num w:numId="7" w16cid:durableId="536085889">
    <w:abstractNumId w:val="0"/>
  </w:num>
  <w:num w:numId="8" w16cid:durableId="1414887367">
    <w:abstractNumId w:val="7"/>
  </w:num>
  <w:num w:numId="9" w16cid:durableId="201444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AB"/>
    <w:rsid w:val="00024B49"/>
    <w:rsid w:val="000853E9"/>
    <w:rsid w:val="000B2FD4"/>
    <w:rsid w:val="000B63F0"/>
    <w:rsid w:val="000E0536"/>
    <w:rsid w:val="000F7951"/>
    <w:rsid w:val="00110815"/>
    <w:rsid w:val="00145B4C"/>
    <w:rsid w:val="001D6B9F"/>
    <w:rsid w:val="001F7673"/>
    <w:rsid w:val="00200CC8"/>
    <w:rsid w:val="002B0BE0"/>
    <w:rsid w:val="003807CE"/>
    <w:rsid w:val="003A45EF"/>
    <w:rsid w:val="003A6BDC"/>
    <w:rsid w:val="003A730E"/>
    <w:rsid w:val="003D263C"/>
    <w:rsid w:val="00427AFA"/>
    <w:rsid w:val="004C5538"/>
    <w:rsid w:val="00514AA4"/>
    <w:rsid w:val="00526821"/>
    <w:rsid w:val="006279F8"/>
    <w:rsid w:val="006D22B1"/>
    <w:rsid w:val="00811169"/>
    <w:rsid w:val="008234F7"/>
    <w:rsid w:val="008713DA"/>
    <w:rsid w:val="00896F8D"/>
    <w:rsid w:val="008B5436"/>
    <w:rsid w:val="008E5968"/>
    <w:rsid w:val="009B402C"/>
    <w:rsid w:val="009D4FD9"/>
    <w:rsid w:val="009D6F34"/>
    <w:rsid w:val="00A00AF0"/>
    <w:rsid w:val="00A1158F"/>
    <w:rsid w:val="00A21CC9"/>
    <w:rsid w:val="00A66B7F"/>
    <w:rsid w:val="00A979EC"/>
    <w:rsid w:val="00B012EC"/>
    <w:rsid w:val="00B2484F"/>
    <w:rsid w:val="00B522AB"/>
    <w:rsid w:val="00B665E5"/>
    <w:rsid w:val="00BA24BE"/>
    <w:rsid w:val="00BB2FCF"/>
    <w:rsid w:val="00C423AA"/>
    <w:rsid w:val="00C445CC"/>
    <w:rsid w:val="00C7176D"/>
    <w:rsid w:val="00CC5287"/>
    <w:rsid w:val="00CF72F4"/>
    <w:rsid w:val="00D50CA2"/>
    <w:rsid w:val="00D73015"/>
    <w:rsid w:val="00DC5858"/>
    <w:rsid w:val="00DC696C"/>
    <w:rsid w:val="00DF3929"/>
    <w:rsid w:val="00E65E1A"/>
    <w:rsid w:val="00E759D7"/>
    <w:rsid w:val="00E86C66"/>
    <w:rsid w:val="00EA67CA"/>
    <w:rsid w:val="00F04E09"/>
    <w:rsid w:val="00F11B98"/>
    <w:rsid w:val="00F13D32"/>
    <w:rsid w:val="00F511B7"/>
    <w:rsid w:val="00F8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EC2C"/>
  <w15:chartTrackingRefBased/>
  <w15:docId w15:val="{B93CC5DD-9BB0-4F07-A9BD-B44F772F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D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2AB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qFormat/>
    <w:rsid w:val="006D22B1"/>
    <w:pPr>
      <w:ind w:left="720"/>
      <w:contextualSpacing/>
    </w:pPr>
  </w:style>
  <w:style w:type="table" w:styleId="TableGrid">
    <w:name w:val="Table Grid"/>
    <w:basedOn w:val="TableNormal"/>
    <w:uiPriority w:val="39"/>
    <w:rsid w:val="006D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B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B1"/>
    <w:rPr>
      <w:lang w:val="ro-RO"/>
    </w:rPr>
  </w:style>
  <w:style w:type="paragraph" w:styleId="Revision">
    <w:name w:val="Revision"/>
    <w:hidden/>
    <w:uiPriority w:val="99"/>
    <w:semiHidden/>
    <w:rsid w:val="003A45EF"/>
    <w:pPr>
      <w:spacing w:after="0" w:line="240" w:lineRule="auto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3A45EF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lectroaparataj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054B0438842A238E6F06D025A4F" ma:contentTypeVersion="16" ma:contentTypeDescription="Create a new document." ma:contentTypeScope="" ma:versionID="3aee5a21fdcaa95d7fce15e3d7ebb9ce">
  <xsd:schema xmlns:xsd="http://www.w3.org/2001/XMLSchema" xmlns:xs="http://www.w3.org/2001/XMLSchema" xmlns:p="http://schemas.microsoft.com/office/2006/metadata/properties" xmlns:ns2="13afdc4a-da1f-4793-b89c-6366513b3628" xmlns:ns3="1a767cb4-004b-47b6-be90-b56f7760bf7c" targetNamespace="http://schemas.microsoft.com/office/2006/metadata/properties" ma:root="true" ma:fieldsID="e35150531855f3e5969824419cc47672" ns2:_="" ns3:_="">
    <xsd:import namespace="13afdc4a-da1f-4793-b89c-6366513b3628"/>
    <xsd:import namespace="1a767cb4-004b-47b6-be90-b56f7760b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dc4a-da1f-4793-b89c-6366513b3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90b9f1-3b21-4e4f-9278-2ecc1db5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7cb4-004b-47b6-be90-b56f7760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7fda9-6a0f-4d2c-8849-2e6aaa0d6885}" ma:internalName="TaxCatchAll" ma:showField="CatchAllData" ma:web="1a767cb4-004b-47b6-be90-b56f7760b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B1554-B330-4A8B-8ED4-F4785AB2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dc4a-da1f-4793-b89c-6366513b3628"/>
    <ds:schemaRef ds:uri="1a767cb4-004b-47b6-be90-b56f7760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FD5F3-BD9E-4489-A757-F39458926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3</cp:revision>
  <cp:lastPrinted>2020-04-28T08:51:00Z</cp:lastPrinted>
  <dcterms:created xsi:type="dcterms:W3CDTF">2023-03-27T16:03:00Z</dcterms:created>
  <dcterms:modified xsi:type="dcterms:W3CDTF">2023-03-27T16:03:00Z</dcterms:modified>
</cp:coreProperties>
</file>